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2A3C9" w14:textId="5D5E5D1A" w:rsidR="00034900" w:rsidRDefault="008F7D04" w:rsidP="00774A5C">
      <w:pPr>
        <w:spacing w:after="0" w:line="240" w:lineRule="auto"/>
        <w:ind w:right="-1327"/>
        <w:jc w:val="right"/>
        <w:rPr>
          <w:b/>
          <w:sz w:val="28"/>
          <w:szCs w:val="28"/>
        </w:rPr>
      </w:pPr>
      <w:r>
        <w:rPr>
          <w:b/>
          <w:noProof/>
          <w:color w:val="EB631B"/>
          <w:sz w:val="52"/>
          <w:szCs w:val="52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CFD7C" wp14:editId="0826A43C">
                <wp:simplePos x="0" y="0"/>
                <wp:positionH relativeFrom="page">
                  <wp:align>left</wp:align>
                </wp:positionH>
                <wp:positionV relativeFrom="paragraph">
                  <wp:posOffset>-1473835</wp:posOffset>
                </wp:positionV>
                <wp:extent cx="8147685" cy="353060"/>
                <wp:effectExtent l="0" t="0" r="5715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7685" cy="353060"/>
                        </a:xfrm>
                        <a:prstGeom prst="rect">
                          <a:avLst/>
                        </a:prstGeom>
                        <a:solidFill>
                          <a:srgbClr val="C2B07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E8019" id="Rectangle 4" o:spid="_x0000_s1026" style="position:absolute;margin-left:0;margin-top:-116.05pt;width:641.55pt;height:27.8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" fillcolor="#c2b078" stroked="f" strokeweight="1pt">
                <w10:wrap anchorx="page"/>
              </v:rect>
            </w:pict>
          </mc:Fallback>
        </mc:AlternateContent>
      </w:r>
      <w:r w:rsidR="008A0DB4" w:rsidRPr="00F36E37">
        <w:rPr>
          <w:b/>
          <w:noProof/>
          <w:sz w:val="24"/>
          <w:szCs w:val="24"/>
          <w:lang w:eastAsia="fr-CA"/>
        </w:rPr>
        <w:drawing>
          <wp:anchor distT="0" distB="0" distL="114300" distR="114300" simplePos="0" relativeHeight="251660288" behindDoc="1" locked="0" layoutInCell="1" allowOverlap="1" wp14:anchorId="0451831E" wp14:editId="78C9D23A">
            <wp:simplePos x="0" y="0"/>
            <wp:positionH relativeFrom="margin">
              <wp:align>left</wp:align>
            </wp:positionH>
            <wp:positionV relativeFrom="paragraph">
              <wp:posOffset>-742950</wp:posOffset>
            </wp:positionV>
            <wp:extent cx="1994535" cy="766445"/>
            <wp:effectExtent l="0" t="0" r="5715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2015 Cégep de Thetford couleur fond blanc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535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900">
        <w:rPr>
          <w:b/>
          <w:color w:val="C2B078"/>
          <w:sz w:val="28"/>
          <w:szCs w:val="28"/>
        </w:rPr>
        <w:t>REDDITION DE COMPTE</w:t>
      </w:r>
      <w:r w:rsidR="00774A5C" w:rsidRPr="0025579A">
        <w:rPr>
          <w:b/>
          <w:sz w:val="28"/>
          <w:szCs w:val="28"/>
        </w:rPr>
        <w:t xml:space="preserve"> </w:t>
      </w:r>
    </w:p>
    <w:p w14:paraId="23288DC6" w14:textId="1A23A0B7" w:rsidR="00774A5C" w:rsidRDefault="008A0DB4" w:rsidP="008A0DB4">
      <w:pPr>
        <w:spacing w:after="0" w:line="240" w:lineRule="auto"/>
        <w:ind w:right="-132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TECHNOLOGIES DE L’INFORMATION</w:t>
      </w:r>
    </w:p>
    <w:p w14:paraId="18914803" w14:textId="77777777" w:rsidR="008A0DB4" w:rsidRDefault="008A0DB4" w:rsidP="008A0DB4">
      <w:pPr>
        <w:spacing w:after="0" w:line="240" w:lineRule="auto"/>
        <w:ind w:right="-1327"/>
        <w:jc w:val="right"/>
        <w:rPr>
          <w:b/>
          <w:bCs/>
        </w:rPr>
      </w:pPr>
    </w:p>
    <w:p w14:paraId="03568AC4" w14:textId="77777777" w:rsidR="00774A5C" w:rsidRDefault="00774A5C" w:rsidP="00774A5C">
      <w:pPr>
        <w:widowControl w:val="0"/>
        <w:pBdr>
          <w:bottom w:val="single" w:sz="4" w:space="1" w:color="auto"/>
        </w:pBdr>
        <w:spacing w:after="0" w:line="240" w:lineRule="auto"/>
        <w:ind w:right="-1327"/>
        <w:jc w:val="right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2A162D0A" w14:textId="77777777" w:rsidR="00774A5C" w:rsidRPr="005323A8" w:rsidRDefault="00774A5C" w:rsidP="00774A5C">
      <w:pPr>
        <w:pStyle w:val="Default"/>
        <w:rPr>
          <w:b/>
          <w:bCs/>
          <w:sz w:val="20"/>
        </w:rPr>
      </w:pPr>
    </w:p>
    <w:p w14:paraId="09EC2EA6" w14:textId="77777777" w:rsidR="00774A5C" w:rsidRDefault="00774A5C" w:rsidP="00774A5C">
      <w:pPr>
        <w:widowControl w:val="0"/>
        <w:spacing w:after="0" w:line="240" w:lineRule="auto"/>
        <w:ind w:firstLine="284"/>
        <w:jc w:val="both"/>
        <w:rPr>
          <w:rFonts w:eastAsia="Times New Roman" w:cs="Arial"/>
          <w:sz w:val="18"/>
          <w:lang w:eastAsia="fr-CA"/>
        </w:rPr>
      </w:pPr>
    </w:p>
    <w:p w14:paraId="7640956E" w14:textId="77777777" w:rsidR="00131679" w:rsidRPr="005323A8" w:rsidRDefault="00131679" w:rsidP="00774A5C">
      <w:pPr>
        <w:widowControl w:val="0"/>
        <w:spacing w:after="0" w:line="240" w:lineRule="auto"/>
        <w:ind w:firstLine="284"/>
        <w:jc w:val="both"/>
        <w:rPr>
          <w:rFonts w:eastAsia="Times New Roman" w:cs="Arial"/>
          <w:sz w:val="18"/>
          <w:lang w:eastAsia="fr-CA"/>
        </w:rPr>
      </w:pPr>
    </w:p>
    <w:p w14:paraId="279FC1CD" w14:textId="5D164025" w:rsidR="00640CFD" w:rsidRDefault="00640CFD" w:rsidP="005C3CEB">
      <w:pPr>
        <w:autoSpaceDE w:val="0"/>
        <w:autoSpaceDN w:val="0"/>
        <w:adjustRightInd w:val="0"/>
        <w:spacing w:after="0" w:line="288" w:lineRule="auto"/>
        <w:ind w:left="284"/>
        <w:jc w:val="both"/>
        <w:rPr>
          <w:rFonts w:ascii="OpenSans-Regular" w:hAnsi="OpenSans-Regular" w:cs="OpenSans-Regular"/>
          <w:color w:val="000000"/>
          <w:sz w:val="23"/>
          <w:szCs w:val="23"/>
        </w:rPr>
      </w:pPr>
      <w:r>
        <w:rPr>
          <w:rFonts w:ascii="OpenSans-Regular" w:hAnsi="OpenSans-Regular" w:cs="OpenSans-Regular"/>
          <w:color w:val="000000"/>
          <w:sz w:val="23"/>
          <w:szCs w:val="23"/>
        </w:rPr>
        <w:t xml:space="preserve">Les technologies de l’information jouent un rôle primordial </w:t>
      </w:r>
      <w:r w:rsidR="00B00B80">
        <w:rPr>
          <w:rFonts w:ascii="OpenSans-Regular" w:hAnsi="OpenSans-Regular" w:cs="OpenSans-Regular"/>
          <w:color w:val="000000"/>
          <w:sz w:val="23"/>
          <w:szCs w:val="23"/>
        </w:rPr>
        <w:t xml:space="preserve">pour le </w:t>
      </w:r>
      <w:r w:rsidR="00D507B4">
        <w:rPr>
          <w:rFonts w:ascii="OpenSans-Regular" w:hAnsi="OpenSans-Regular" w:cs="OpenSans-Regular"/>
          <w:color w:val="000000"/>
          <w:sz w:val="23"/>
          <w:szCs w:val="23"/>
        </w:rPr>
        <w:t>Cégep</w:t>
      </w:r>
      <w:r w:rsidR="00B00B80">
        <w:rPr>
          <w:rFonts w:ascii="OpenSans-Regular" w:hAnsi="OpenSans-Regular" w:cs="OpenSans-Regular"/>
          <w:color w:val="000000"/>
          <w:sz w:val="23"/>
          <w:szCs w:val="23"/>
        </w:rPr>
        <w:t xml:space="preserve"> de Thetford </w:t>
      </w:r>
      <w:r>
        <w:rPr>
          <w:rFonts w:ascii="OpenSans-Regular" w:hAnsi="OpenSans-Regular" w:cs="OpenSans-Regular"/>
          <w:color w:val="000000"/>
          <w:sz w:val="23"/>
          <w:szCs w:val="23"/>
        </w:rPr>
        <w:t>dans l’atteinte de sa mission.</w:t>
      </w:r>
      <w:r w:rsidR="00B00B80">
        <w:rPr>
          <w:rFonts w:ascii="OpenSans-Regular" w:hAnsi="OpenSans-Regular" w:cs="OpenSans-Regular"/>
          <w:color w:val="000000"/>
          <w:sz w:val="23"/>
          <w:szCs w:val="23"/>
        </w:rPr>
        <w:t xml:space="preserve">  Des infrastructures sécuritaires, plus performantes et plus modernes sont mi</w:t>
      </w:r>
      <w:r w:rsidR="00B433A7">
        <w:rPr>
          <w:rFonts w:ascii="OpenSans-Regular" w:hAnsi="OpenSans-Regular" w:cs="OpenSans-Regular"/>
          <w:color w:val="000000"/>
          <w:sz w:val="23"/>
          <w:szCs w:val="23"/>
        </w:rPr>
        <w:t>se</w:t>
      </w:r>
      <w:r w:rsidR="00B00B80">
        <w:rPr>
          <w:rFonts w:ascii="OpenSans-Regular" w:hAnsi="OpenSans-Regular" w:cs="OpenSans-Regular"/>
          <w:color w:val="000000"/>
          <w:sz w:val="23"/>
          <w:szCs w:val="23"/>
        </w:rPr>
        <w:t>s en place pour soutenir le personnel dans les opérations courantes</w:t>
      </w:r>
      <w:r w:rsidR="00E240FE">
        <w:rPr>
          <w:rFonts w:ascii="OpenSans-Regular" w:hAnsi="OpenSans-Regular" w:cs="OpenSans-Regular"/>
          <w:color w:val="000000"/>
          <w:sz w:val="23"/>
          <w:szCs w:val="23"/>
        </w:rPr>
        <w:t xml:space="preserve"> sur les </w:t>
      </w:r>
      <w:r w:rsidR="00B433A7">
        <w:rPr>
          <w:rFonts w:ascii="OpenSans-Regular" w:hAnsi="OpenSans-Regular" w:cs="OpenSans-Regular"/>
          <w:color w:val="000000"/>
          <w:sz w:val="23"/>
          <w:szCs w:val="23"/>
        </w:rPr>
        <w:t>deux (2)</w:t>
      </w:r>
      <w:r w:rsidR="00E240FE">
        <w:rPr>
          <w:rFonts w:ascii="OpenSans-Regular" w:hAnsi="OpenSans-Regular" w:cs="OpenSans-Regular"/>
          <w:color w:val="000000"/>
          <w:sz w:val="23"/>
          <w:szCs w:val="23"/>
        </w:rPr>
        <w:t xml:space="preserve"> campus du </w:t>
      </w:r>
      <w:r w:rsidR="00D507B4">
        <w:rPr>
          <w:rFonts w:ascii="OpenSans-Regular" w:hAnsi="OpenSans-Regular" w:cs="OpenSans-Regular"/>
          <w:color w:val="000000"/>
          <w:sz w:val="23"/>
          <w:szCs w:val="23"/>
        </w:rPr>
        <w:t>Cégep</w:t>
      </w:r>
      <w:r w:rsidR="00E240FE">
        <w:rPr>
          <w:rFonts w:ascii="OpenSans-Regular" w:hAnsi="OpenSans-Regular" w:cs="OpenSans-Regular"/>
          <w:color w:val="000000"/>
          <w:sz w:val="23"/>
          <w:szCs w:val="23"/>
        </w:rPr>
        <w:t>.</w:t>
      </w:r>
    </w:p>
    <w:p w14:paraId="36DA9BD5" w14:textId="77777777" w:rsidR="00640CFD" w:rsidRPr="002D58C5" w:rsidRDefault="00640CFD" w:rsidP="005C3CEB">
      <w:pPr>
        <w:spacing w:line="288" w:lineRule="auto"/>
        <w:ind w:left="284"/>
        <w:jc w:val="both"/>
        <w:rPr>
          <w:b/>
        </w:rPr>
      </w:pPr>
    </w:p>
    <w:p w14:paraId="7B99035B" w14:textId="44A3FD51" w:rsidR="00640CFD" w:rsidRPr="00CC0ED8" w:rsidRDefault="00640CFD" w:rsidP="005C3CEB">
      <w:pPr>
        <w:pStyle w:val="Titre1"/>
        <w:pBdr>
          <w:bottom w:val="single" w:sz="4" w:space="1" w:color="auto"/>
        </w:pBdr>
        <w:spacing w:line="288" w:lineRule="auto"/>
        <w:ind w:left="284"/>
        <w:rPr>
          <w:color w:val="auto"/>
        </w:rPr>
      </w:pPr>
      <w:r w:rsidRPr="00CC0ED8">
        <w:rPr>
          <w:color w:val="auto"/>
        </w:rPr>
        <w:t>Faits saillants 202</w:t>
      </w:r>
      <w:r w:rsidR="003801FF">
        <w:rPr>
          <w:color w:val="auto"/>
        </w:rPr>
        <w:t>3</w:t>
      </w:r>
      <w:r w:rsidRPr="00CC0ED8">
        <w:rPr>
          <w:color w:val="auto"/>
        </w:rPr>
        <w:t>-202</w:t>
      </w:r>
      <w:r w:rsidR="003801FF">
        <w:rPr>
          <w:color w:val="auto"/>
        </w:rPr>
        <w:t>4</w:t>
      </w:r>
    </w:p>
    <w:p w14:paraId="0DD5B878" w14:textId="77777777" w:rsidR="00CC0ED8" w:rsidRDefault="00CC0ED8" w:rsidP="005C3CEB">
      <w:pPr>
        <w:pStyle w:val="Paragraphedeliste"/>
        <w:spacing w:line="288" w:lineRule="auto"/>
        <w:ind w:left="284"/>
        <w:jc w:val="both"/>
      </w:pPr>
    </w:p>
    <w:p w14:paraId="3822B71D" w14:textId="2DC586EB" w:rsidR="00640CFD" w:rsidRPr="009C1082" w:rsidRDefault="00640CFD" w:rsidP="005C3CEB">
      <w:pPr>
        <w:pStyle w:val="Paragraphedeliste"/>
        <w:numPr>
          <w:ilvl w:val="0"/>
          <w:numId w:val="1"/>
        </w:numPr>
        <w:spacing w:line="288" w:lineRule="auto"/>
        <w:ind w:left="709"/>
        <w:jc w:val="both"/>
        <w:rPr>
          <w:b/>
          <w:bCs/>
        </w:rPr>
      </w:pPr>
      <w:r w:rsidRPr="009C1082">
        <w:rPr>
          <w:b/>
          <w:bCs/>
        </w:rPr>
        <w:t>Rehaussement de la Cybersécurité</w:t>
      </w:r>
    </w:p>
    <w:p w14:paraId="26D7B385" w14:textId="025DFBBB" w:rsidR="00640CFD" w:rsidRDefault="005B55AF" w:rsidP="005C3CEB">
      <w:pPr>
        <w:spacing w:line="288" w:lineRule="auto"/>
        <w:ind w:left="709"/>
        <w:jc w:val="both"/>
      </w:pPr>
      <w:r>
        <w:t xml:space="preserve">Afin de protéger ses infrastructures, ses systèmes, ses employés, ses fournisseurs, ses étudiants, le </w:t>
      </w:r>
      <w:r w:rsidR="00D507B4">
        <w:t>Cégep</w:t>
      </w:r>
      <w:r>
        <w:t xml:space="preserve"> a mis en place notamment :</w:t>
      </w:r>
    </w:p>
    <w:p w14:paraId="3C0EC2F1" w14:textId="05E16EEA" w:rsidR="005B55AF" w:rsidRDefault="005B55AF" w:rsidP="005C3CEB">
      <w:pPr>
        <w:pStyle w:val="Paragraphedeliste"/>
        <w:numPr>
          <w:ilvl w:val="0"/>
          <w:numId w:val="4"/>
        </w:numPr>
        <w:spacing w:line="288" w:lineRule="auto"/>
        <w:ind w:left="1134"/>
        <w:jc w:val="both"/>
      </w:pPr>
      <w:r>
        <w:t xml:space="preserve">Authentification </w:t>
      </w:r>
      <w:r w:rsidR="00CC0ED8">
        <w:t>m</w:t>
      </w:r>
      <w:r>
        <w:t>ultifacteur (MFA)</w:t>
      </w:r>
      <w:r w:rsidR="002B314C">
        <w:t xml:space="preserve"> obligatoire pour tous</w:t>
      </w:r>
      <w:r w:rsidR="009C1082">
        <w:t>.</w:t>
      </w:r>
    </w:p>
    <w:p w14:paraId="1D597849" w14:textId="2C599AA7" w:rsidR="005B55AF" w:rsidRDefault="005B55AF" w:rsidP="005C3CEB">
      <w:pPr>
        <w:pStyle w:val="Paragraphedeliste"/>
        <w:numPr>
          <w:ilvl w:val="0"/>
          <w:numId w:val="4"/>
        </w:numPr>
        <w:spacing w:line="288" w:lineRule="auto"/>
        <w:ind w:left="1134"/>
        <w:jc w:val="both"/>
      </w:pPr>
      <w:r>
        <w:t>Des simulations d’hameçonnage</w:t>
      </w:r>
      <w:r w:rsidR="009C1082">
        <w:t>.</w:t>
      </w:r>
    </w:p>
    <w:p w14:paraId="0C684F1B" w14:textId="75CFBB2A" w:rsidR="0024242F" w:rsidRDefault="005B55AF" w:rsidP="005C3CEB">
      <w:pPr>
        <w:pStyle w:val="Paragraphedeliste"/>
        <w:numPr>
          <w:ilvl w:val="0"/>
          <w:numId w:val="4"/>
        </w:numPr>
        <w:spacing w:line="288" w:lineRule="auto"/>
        <w:ind w:left="1134"/>
        <w:jc w:val="both"/>
      </w:pPr>
      <w:r>
        <w:t>Sensibilisation du personnel</w:t>
      </w:r>
      <w:r w:rsidR="009C1082">
        <w:t>.</w:t>
      </w:r>
    </w:p>
    <w:p w14:paraId="18AF7655" w14:textId="77D5629B" w:rsidR="003B4B25" w:rsidRDefault="00316649" w:rsidP="005C3CEB">
      <w:pPr>
        <w:pStyle w:val="Paragraphedeliste"/>
        <w:numPr>
          <w:ilvl w:val="0"/>
          <w:numId w:val="4"/>
        </w:numPr>
        <w:spacing w:line="288" w:lineRule="auto"/>
        <w:ind w:left="1134"/>
        <w:jc w:val="both"/>
      </w:pPr>
      <w:r>
        <w:t>Compléter le</w:t>
      </w:r>
      <w:r w:rsidR="003B4B25">
        <w:t xml:space="preserve"> retrait des droits d’administrateur</w:t>
      </w:r>
      <w:r w:rsidR="00FC430F">
        <w:t xml:space="preserve"> tout</w:t>
      </w:r>
      <w:r w:rsidR="003B4B25">
        <w:t xml:space="preserve"> sur les postes administratifs</w:t>
      </w:r>
      <w:r w:rsidR="009C1082">
        <w:t>.</w:t>
      </w:r>
    </w:p>
    <w:p w14:paraId="1E5B6536" w14:textId="77777777" w:rsidR="0024242F" w:rsidRDefault="0024242F" w:rsidP="005C3CEB">
      <w:pPr>
        <w:pStyle w:val="Paragraphedeliste"/>
        <w:spacing w:line="288" w:lineRule="auto"/>
        <w:ind w:left="709"/>
        <w:jc w:val="both"/>
      </w:pPr>
    </w:p>
    <w:p w14:paraId="3346834A" w14:textId="77777777" w:rsidR="0024242F" w:rsidRPr="009C1082" w:rsidRDefault="0024242F" w:rsidP="005C3CEB">
      <w:pPr>
        <w:pStyle w:val="Paragraphedeliste"/>
        <w:numPr>
          <w:ilvl w:val="0"/>
          <w:numId w:val="1"/>
        </w:numPr>
        <w:spacing w:line="288" w:lineRule="auto"/>
        <w:ind w:left="709"/>
        <w:jc w:val="both"/>
        <w:rPr>
          <w:b/>
          <w:bCs/>
        </w:rPr>
      </w:pPr>
      <w:r w:rsidRPr="009C1082">
        <w:rPr>
          <w:b/>
          <w:bCs/>
        </w:rPr>
        <w:t xml:space="preserve">Télétravail </w:t>
      </w:r>
    </w:p>
    <w:p w14:paraId="332769FA" w14:textId="7189717B" w:rsidR="0024242F" w:rsidRDefault="001D1CB4" w:rsidP="005C3CEB">
      <w:pPr>
        <w:pStyle w:val="Paragraphedeliste"/>
        <w:numPr>
          <w:ilvl w:val="0"/>
          <w:numId w:val="3"/>
        </w:numPr>
        <w:spacing w:line="288" w:lineRule="auto"/>
        <w:ind w:left="1134"/>
        <w:jc w:val="both"/>
      </w:pPr>
      <w:r>
        <w:t xml:space="preserve">Application de la </w:t>
      </w:r>
      <w:r w:rsidR="0024242F">
        <w:t>politique de télétravail</w:t>
      </w:r>
      <w:r>
        <w:t>.</w:t>
      </w:r>
    </w:p>
    <w:p w14:paraId="3298459C" w14:textId="038E385A" w:rsidR="009C1082" w:rsidRDefault="0024242F" w:rsidP="00187F19">
      <w:pPr>
        <w:pStyle w:val="Paragraphedeliste"/>
        <w:numPr>
          <w:ilvl w:val="0"/>
          <w:numId w:val="3"/>
        </w:numPr>
        <w:spacing w:line="288" w:lineRule="auto"/>
        <w:ind w:left="1134"/>
        <w:jc w:val="both"/>
      </w:pPr>
      <w:r>
        <w:t>L’accès à distance a été amélioré pour sécuriser les accès</w:t>
      </w:r>
      <w:r w:rsidR="009C1082">
        <w:t>.</w:t>
      </w:r>
    </w:p>
    <w:p w14:paraId="6A28C11A" w14:textId="77777777" w:rsidR="00187F19" w:rsidRDefault="00187F19" w:rsidP="00187F19">
      <w:pPr>
        <w:spacing w:line="288" w:lineRule="auto"/>
        <w:jc w:val="both"/>
      </w:pPr>
    </w:p>
    <w:p w14:paraId="32C8B56B" w14:textId="50BD6B79" w:rsidR="00741E58" w:rsidRDefault="0024242F" w:rsidP="005C3CEB">
      <w:pPr>
        <w:pStyle w:val="Paragraphedeliste"/>
        <w:numPr>
          <w:ilvl w:val="0"/>
          <w:numId w:val="1"/>
        </w:numPr>
        <w:spacing w:after="0" w:line="288" w:lineRule="auto"/>
        <w:ind w:left="709"/>
        <w:jc w:val="both"/>
      </w:pPr>
      <w:r w:rsidRPr="00A807A6">
        <w:rPr>
          <w:b/>
          <w:bCs/>
        </w:rPr>
        <w:t>Téléphonie TEA</w:t>
      </w:r>
      <w:r w:rsidR="00741E58" w:rsidRPr="00A807A6">
        <w:rPr>
          <w:b/>
          <w:bCs/>
        </w:rPr>
        <w:t>M</w:t>
      </w:r>
      <w:r w:rsidR="00F71A23" w:rsidRPr="00A807A6">
        <w:rPr>
          <w:b/>
          <w:bCs/>
        </w:rPr>
        <w:t>S</w:t>
      </w:r>
    </w:p>
    <w:p w14:paraId="1E9F138F" w14:textId="1B1647EF" w:rsidR="002B314C" w:rsidRDefault="00A807A6" w:rsidP="002B314C">
      <w:pPr>
        <w:pStyle w:val="Paragraphedeliste"/>
        <w:numPr>
          <w:ilvl w:val="0"/>
          <w:numId w:val="3"/>
        </w:numPr>
        <w:spacing w:line="288" w:lineRule="auto"/>
        <w:ind w:left="1134"/>
        <w:jc w:val="both"/>
      </w:pPr>
      <w:r>
        <w:t>Le déploiement de la téléphonie TEAMS est terminé à 100% sur les 2 campus.</w:t>
      </w:r>
    </w:p>
    <w:p w14:paraId="58E49BFE" w14:textId="77777777" w:rsidR="00741E58" w:rsidRDefault="00741E58" w:rsidP="005C3CEB">
      <w:pPr>
        <w:spacing w:after="0" w:line="288" w:lineRule="auto"/>
        <w:ind w:left="709" w:firstLine="346"/>
        <w:jc w:val="both"/>
      </w:pPr>
    </w:p>
    <w:p w14:paraId="66E29473" w14:textId="0D3EB5CA" w:rsidR="00741E58" w:rsidRPr="002A6969" w:rsidRDefault="00741E58" w:rsidP="002A6969">
      <w:pPr>
        <w:pStyle w:val="Paragraphedeliste"/>
        <w:numPr>
          <w:ilvl w:val="0"/>
          <w:numId w:val="1"/>
        </w:numPr>
        <w:spacing w:line="288" w:lineRule="auto"/>
        <w:ind w:left="709"/>
        <w:jc w:val="both"/>
        <w:rPr>
          <w:b/>
          <w:bCs/>
        </w:rPr>
      </w:pPr>
      <w:r w:rsidRPr="00F71A23">
        <w:rPr>
          <w:b/>
          <w:bCs/>
        </w:rPr>
        <w:t>Rehaussement des équipements</w:t>
      </w:r>
      <w:r w:rsidR="003D0899">
        <w:rPr>
          <w:b/>
          <w:bCs/>
        </w:rPr>
        <w:t xml:space="preserve"> et de l’infrastructures</w:t>
      </w:r>
    </w:p>
    <w:p w14:paraId="672B0201" w14:textId="0C2723DB" w:rsidR="0082409E" w:rsidRDefault="0082409E" w:rsidP="0082409E">
      <w:pPr>
        <w:pStyle w:val="Paragraphedeliste"/>
        <w:numPr>
          <w:ilvl w:val="0"/>
          <w:numId w:val="3"/>
        </w:numPr>
        <w:spacing w:line="288" w:lineRule="auto"/>
        <w:ind w:left="1134"/>
        <w:jc w:val="both"/>
      </w:pPr>
      <w:r>
        <w:t xml:space="preserve">Mise à jour des tablettes électroniques et des ordinateurs portables désuets. </w:t>
      </w:r>
    </w:p>
    <w:p w14:paraId="1C1EC9E9" w14:textId="115E079A" w:rsidR="00AB277E" w:rsidRDefault="00AB277E" w:rsidP="0082409E">
      <w:pPr>
        <w:pStyle w:val="Paragraphedeliste"/>
        <w:numPr>
          <w:ilvl w:val="0"/>
          <w:numId w:val="3"/>
        </w:numPr>
        <w:spacing w:line="288" w:lineRule="auto"/>
        <w:ind w:left="1134"/>
        <w:jc w:val="both"/>
      </w:pPr>
      <w:r>
        <w:t xml:space="preserve">Remplacement de plusieurs vieux projecteurs par des </w:t>
      </w:r>
      <w:r w:rsidR="00FA5614">
        <w:t>écrans interactifs</w:t>
      </w:r>
    </w:p>
    <w:p w14:paraId="685AAB02" w14:textId="1BD75093" w:rsidR="00043B8F" w:rsidRDefault="00550397" w:rsidP="0082409E">
      <w:pPr>
        <w:pStyle w:val="Paragraphedeliste"/>
        <w:numPr>
          <w:ilvl w:val="0"/>
          <w:numId w:val="3"/>
        </w:numPr>
        <w:spacing w:line="288" w:lineRule="auto"/>
        <w:ind w:left="1134"/>
        <w:jc w:val="both"/>
      </w:pPr>
      <w:r>
        <w:t xml:space="preserve">Mise </w:t>
      </w:r>
      <w:r w:rsidR="00A807A6">
        <w:t>à jour</w:t>
      </w:r>
      <w:r>
        <w:t xml:space="preserve"> de laboratoire informatique</w:t>
      </w:r>
    </w:p>
    <w:p w14:paraId="1620EDFD" w14:textId="12DAE380" w:rsidR="003D0899" w:rsidRDefault="003D0899" w:rsidP="0082409E">
      <w:pPr>
        <w:pStyle w:val="Paragraphedeliste"/>
        <w:numPr>
          <w:ilvl w:val="0"/>
          <w:numId w:val="3"/>
        </w:numPr>
        <w:spacing w:line="288" w:lineRule="auto"/>
        <w:ind w:left="1134"/>
        <w:jc w:val="both"/>
      </w:pPr>
      <w:r>
        <w:t xml:space="preserve">Début des travaux pour le </w:t>
      </w:r>
      <w:r w:rsidR="00C11298">
        <w:t>Programme de consolidation des CTI.</w:t>
      </w:r>
    </w:p>
    <w:sectPr w:rsidR="003D0899" w:rsidSect="008A0DB4">
      <w:footerReference w:type="default" r:id="rId11"/>
      <w:pgSz w:w="12240" w:h="15840" w:code="1"/>
      <w:pgMar w:top="2268" w:right="1701" w:bottom="1134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C78BE" w14:textId="77777777" w:rsidR="00295499" w:rsidRDefault="00295499" w:rsidP="00295499">
      <w:pPr>
        <w:spacing w:after="0" w:line="240" w:lineRule="auto"/>
      </w:pPr>
      <w:r>
        <w:separator/>
      </w:r>
    </w:p>
  </w:endnote>
  <w:endnote w:type="continuationSeparator" w:id="0">
    <w:p w14:paraId="3ECDDE6A" w14:textId="77777777" w:rsidR="00295499" w:rsidRDefault="00295499" w:rsidP="0029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ans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BA93" w14:textId="6A48A346" w:rsidR="00531850" w:rsidRDefault="00531850">
    <w:pPr>
      <w:pStyle w:val="Pieddepage"/>
      <w:ind w:right="-864"/>
      <w:jc w:val="right"/>
    </w:pPr>
  </w:p>
  <w:p w14:paraId="67035BD9" w14:textId="77777777" w:rsidR="00531850" w:rsidRDefault="005318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9A39C" w14:textId="77777777" w:rsidR="00295499" w:rsidRDefault="00295499" w:rsidP="00295499">
      <w:pPr>
        <w:spacing w:after="0" w:line="240" w:lineRule="auto"/>
      </w:pPr>
      <w:r>
        <w:separator/>
      </w:r>
    </w:p>
  </w:footnote>
  <w:footnote w:type="continuationSeparator" w:id="0">
    <w:p w14:paraId="41B7647C" w14:textId="77777777" w:rsidR="00295499" w:rsidRDefault="00295499" w:rsidP="00295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6618C"/>
    <w:multiLevelType w:val="hybridMultilevel"/>
    <w:tmpl w:val="1C0C6A6E"/>
    <w:lvl w:ilvl="0" w:tplc="DF6272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F62725C">
      <w:start w:val="1"/>
      <w:numFmt w:val="bullet"/>
      <w:lvlText w:val=""/>
      <w:lvlJc w:val="left"/>
      <w:pPr>
        <w:ind w:left="2868" w:hanging="360"/>
      </w:pPr>
      <w:rPr>
        <w:rFonts w:ascii="Symbol" w:hAnsi="Symbol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96D4754"/>
    <w:multiLevelType w:val="hybridMultilevel"/>
    <w:tmpl w:val="5E207360"/>
    <w:lvl w:ilvl="0" w:tplc="DF627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768C4"/>
    <w:multiLevelType w:val="hybridMultilevel"/>
    <w:tmpl w:val="F9746EA8"/>
    <w:lvl w:ilvl="0" w:tplc="DF6272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C7685C"/>
    <w:multiLevelType w:val="hybridMultilevel"/>
    <w:tmpl w:val="9F866174"/>
    <w:lvl w:ilvl="0" w:tplc="DF6272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12D7D31"/>
    <w:multiLevelType w:val="hybridMultilevel"/>
    <w:tmpl w:val="D256C6C2"/>
    <w:lvl w:ilvl="0" w:tplc="DF6272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A101F7"/>
    <w:multiLevelType w:val="hybridMultilevel"/>
    <w:tmpl w:val="1624C0CA"/>
    <w:lvl w:ilvl="0" w:tplc="CE8C4D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959E4A9E">
      <w:numFmt w:val="bullet"/>
      <w:lvlText w:val="-"/>
      <w:lvlJc w:val="left"/>
      <w:pPr>
        <w:ind w:left="2688" w:hanging="708"/>
      </w:pPr>
      <w:rPr>
        <w:rFonts w:ascii="Calibri" w:eastAsiaTheme="minorHAnsi" w:hAnsi="Calibri" w:cs="Calibri" w:hint="default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306728">
    <w:abstractNumId w:val="5"/>
  </w:num>
  <w:num w:numId="2" w16cid:durableId="1555236110">
    <w:abstractNumId w:val="4"/>
  </w:num>
  <w:num w:numId="3" w16cid:durableId="419302393">
    <w:abstractNumId w:val="1"/>
  </w:num>
  <w:num w:numId="4" w16cid:durableId="882867862">
    <w:abstractNumId w:val="2"/>
  </w:num>
  <w:num w:numId="5" w16cid:durableId="1414861203">
    <w:abstractNumId w:val="3"/>
  </w:num>
  <w:num w:numId="6" w16cid:durableId="2100561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FD"/>
    <w:rsid w:val="00034900"/>
    <w:rsid w:val="00041507"/>
    <w:rsid w:val="00043B8F"/>
    <w:rsid w:val="001079A6"/>
    <w:rsid w:val="00112ADE"/>
    <w:rsid w:val="00131679"/>
    <w:rsid w:val="0018554A"/>
    <w:rsid w:val="00187F19"/>
    <w:rsid w:val="001D1CB4"/>
    <w:rsid w:val="00214BFB"/>
    <w:rsid w:val="0024242F"/>
    <w:rsid w:val="002543E9"/>
    <w:rsid w:val="00265756"/>
    <w:rsid w:val="00295499"/>
    <w:rsid w:val="002A6969"/>
    <w:rsid w:val="002B06D8"/>
    <w:rsid w:val="002B314C"/>
    <w:rsid w:val="002D58C5"/>
    <w:rsid w:val="00316649"/>
    <w:rsid w:val="003801FF"/>
    <w:rsid w:val="00394EE3"/>
    <w:rsid w:val="003B4B25"/>
    <w:rsid w:val="003D0899"/>
    <w:rsid w:val="00430F6A"/>
    <w:rsid w:val="004C600A"/>
    <w:rsid w:val="005263D8"/>
    <w:rsid w:val="00531850"/>
    <w:rsid w:val="00550397"/>
    <w:rsid w:val="005B55AF"/>
    <w:rsid w:val="005B7CE0"/>
    <w:rsid w:val="005C3CEB"/>
    <w:rsid w:val="00625A6E"/>
    <w:rsid w:val="00640CFD"/>
    <w:rsid w:val="006F6C81"/>
    <w:rsid w:val="00741E58"/>
    <w:rsid w:val="00774A5C"/>
    <w:rsid w:val="0082409E"/>
    <w:rsid w:val="00831160"/>
    <w:rsid w:val="008A0DB4"/>
    <w:rsid w:val="008C7D9B"/>
    <w:rsid w:val="008F7D04"/>
    <w:rsid w:val="009C1082"/>
    <w:rsid w:val="00A508E9"/>
    <w:rsid w:val="00A807A6"/>
    <w:rsid w:val="00A90D26"/>
    <w:rsid w:val="00AB277E"/>
    <w:rsid w:val="00AC1F20"/>
    <w:rsid w:val="00B00B80"/>
    <w:rsid w:val="00B433A7"/>
    <w:rsid w:val="00C11298"/>
    <w:rsid w:val="00C1343B"/>
    <w:rsid w:val="00C36B6B"/>
    <w:rsid w:val="00C4628A"/>
    <w:rsid w:val="00C714A1"/>
    <w:rsid w:val="00CA314E"/>
    <w:rsid w:val="00CC0ED8"/>
    <w:rsid w:val="00D507B4"/>
    <w:rsid w:val="00D62F41"/>
    <w:rsid w:val="00D84201"/>
    <w:rsid w:val="00DC2713"/>
    <w:rsid w:val="00E240FE"/>
    <w:rsid w:val="00EF2670"/>
    <w:rsid w:val="00F55D50"/>
    <w:rsid w:val="00F71A23"/>
    <w:rsid w:val="00FA5614"/>
    <w:rsid w:val="00FC430F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D1A1EE"/>
  <w15:chartTrackingRefBased/>
  <w15:docId w15:val="{0313B433-FB7A-4F1B-AD39-A7D6DDFA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433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0CFD"/>
    <w:pPr>
      <w:ind w:left="720"/>
      <w:contextualSpacing/>
    </w:pPr>
  </w:style>
  <w:style w:type="paragraph" w:customStyle="1" w:styleId="Default">
    <w:name w:val="Default"/>
    <w:rsid w:val="00AC1F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954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5499"/>
  </w:style>
  <w:style w:type="paragraph" w:styleId="Pieddepage">
    <w:name w:val="footer"/>
    <w:basedOn w:val="Normal"/>
    <w:link w:val="PieddepageCar"/>
    <w:uiPriority w:val="99"/>
    <w:unhideWhenUsed/>
    <w:rsid w:val="002954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5499"/>
  </w:style>
  <w:style w:type="character" w:customStyle="1" w:styleId="Titre1Car">
    <w:name w:val="Titre 1 Car"/>
    <w:basedOn w:val="Policepardfaut"/>
    <w:link w:val="Titre1"/>
    <w:uiPriority w:val="9"/>
    <w:rsid w:val="00B43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48A9D108C3AA4D89003CD31725F645" ma:contentTypeVersion="16" ma:contentTypeDescription="Crée un document." ma:contentTypeScope="" ma:versionID="766f8f53fd023dd17bdb6c2f9c3e7f7f">
  <xsd:schema xmlns:xsd="http://www.w3.org/2001/XMLSchema" xmlns:xs="http://www.w3.org/2001/XMLSchema" xmlns:p="http://schemas.microsoft.com/office/2006/metadata/properties" xmlns:ns2="ee176889-5873-4afe-9b78-0bdf8dcb8e40" xmlns:ns3="34ef8022-9bf5-4a91-b436-2487c9d0a877" targetNamespace="http://schemas.microsoft.com/office/2006/metadata/properties" ma:root="true" ma:fieldsID="c114e94cc3e02716e1cad080b8231a99" ns2:_="" ns3:_="">
    <xsd:import namespace="ee176889-5873-4afe-9b78-0bdf8dcb8e40"/>
    <xsd:import namespace="34ef8022-9bf5-4a91-b436-2487c9d0a8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76889-5873-4afe-9b78-0bdf8dcb8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c8757e77-10fe-4b48-b855-992482ebf0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f8022-9bf5-4a91-b436-2487c9d0a87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c97f08-cb36-4df6-a5be-786accb9dbfd}" ma:internalName="TaxCatchAll" ma:showField="CatchAllData" ma:web="34ef8022-9bf5-4a91-b436-2487c9d0a8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ef8022-9bf5-4a91-b436-2487c9d0a877" xsi:nil="true"/>
    <lcf76f155ced4ddcb4097134ff3c332f xmlns="ee176889-5873-4afe-9b78-0bdf8dcb8e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7C809B-E79F-40CE-848B-C9BF80147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76889-5873-4afe-9b78-0bdf8dcb8e40"/>
    <ds:schemaRef ds:uri="34ef8022-9bf5-4a91-b436-2487c9d0a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E00EFD-EE93-490C-8681-226425B9EA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1C57B5-4E79-4025-9C88-4BF32996291F}">
  <ds:schemaRefs>
    <ds:schemaRef ds:uri="http://schemas.microsoft.com/office/2006/metadata/properties"/>
    <ds:schemaRef ds:uri="http://schemas.microsoft.com/office/infopath/2007/PartnerControls"/>
    <ds:schemaRef ds:uri="34ef8022-9bf5-4a91-b436-2487c9d0a877"/>
    <ds:schemaRef ds:uri="ee176889-5873-4afe-9b78-0bdf8dcb8e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Cegep de Thetford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Huard</dc:creator>
  <cp:keywords/>
  <dc:description/>
  <cp:lastModifiedBy>Éric Plante</cp:lastModifiedBy>
  <cp:revision>22</cp:revision>
  <dcterms:created xsi:type="dcterms:W3CDTF">2024-01-12T15:57:00Z</dcterms:created>
  <dcterms:modified xsi:type="dcterms:W3CDTF">2025-01-06T18:45:00Z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0x0101007748A9D108C3AA4D89003CD31725F645</vt:lpwstr>
  </property>
  <property fmtid="{D5CDD505-2E9C-101B-9397-08002B2CF9AE}" pid="3" name="Order">
    <vt:r8>570800</vt:r8>
  </property>
  <property fmtid="{D5CDD505-2E9C-101B-9397-08002B2CF9AE}" pid="4" name="MediaServiceImageTags">
    <vt:lpwstr/>
  </property>
</Properties>
</file>